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5FDBA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77F7">
        <w:rPr>
          <w:rFonts w:ascii="Times New Roman" w:hAnsi="Times New Roman" w:cs="Times New Roman"/>
          <w:b/>
          <w:bCs/>
          <w:sz w:val="28"/>
          <w:szCs w:val="28"/>
        </w:rPr>
        <w:t>Пояснение по заполнению формы, предназначенной для сбора административных данных на безвозмездной основе «Отчет об изменениях в капитале» (№ 5-ИК)</w:t>
      </w:r>
    </w:p>
    <w:p w14:paraId="49137860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1) Форма «Отчет об изменениях в капитале» разработана в соответствии с подпунктом 2) пункта 5 статьи 20 Закона Республики Казахстан «О бухгалтерском учете и финансовой отчетности», подпунктом 643-6) пункта 15 Положения о Министерстве финансов Республики Казахстан, утвержденного постановлением Правительства Республики Казахстан от 24 апреля 2008 года № 387.</w:t>
      </w:r>
    </w:p>
    <w:p w14:paraId="0AFDD05F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2) Форма «Отчет об изменениях в капитале» представляется организациями публичного интереса по результатам финансового года в депозитарий финансовой отчетности в электронном формате посредством программного обеспечения. Подписывается «Отчет об изменениях в капитале»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за отчетным. Основной задачей ведения данной формы является осуществление мониторинг за соблюдением Закона Республики Казахстан «О бухгалтерском учете и финансовой отчетности»;</w:t>
      </w:r>
    </w:p>
    <w:p w14:paraId="462F89A7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3) Форма заполняется следующим образом:</w:t>
      </w:r>
    </w:p>
    <w:p w14:paraId="28C0ADE7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столбце «Наименование компонентов»:</w:t>
      </w:r>
    </w:p>
    <w:p w14:paraId="02DC2F6B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«Сальдо на 1 января предыдущего года» 010;</w:t>
      </w:r>
    </w:p>
    <w:p w14:paraId="5413CDB3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«Изменение в учетной политике» 011;</w:t>
      </w:r>
    </w:p>
    <w:p w14:paraId="16C71DDB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строке «Пересчитанное сальдо» 100 указывается +/- строк 010 и 011;</w:t>
      </w:r>
    </w:p>
    <w:p w14:paraId="6FD10C29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Значение строки «Общий совокупный доход, всего» 200 равно сумме строк 210 и 220:</w:t>
      </w:r>
    </w:p>
    <w:p w14:paraId="41CC642D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«Прибыль (убыток) за год» 210;</w:t>
      </w:r>
    </w:p>
    <w:p w14:paraId="592BDFBF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Значение строки «Прочий совокупный доход, всего» 220 равно сумме строк с 221 по 229,</w:t>
      </w:r>
    </w:p>
    <w:p w14:paraId="03339495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том числе:</w:t>
      </w:r>
    </w:p>
    <w:p w14:paraId="6CD7C4B5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«переоценка долговых финансовых инструментов, оцениваемых по справедливой стоимости через прочий совокупный доход (за минусом налогового эффекта)» 221;</w:t>
      </w:r>
    </w:p>
    <w:p w14:paraId="2CA256E2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«переоценка долевых финансовых инструментов, оцениваемых по справедливой стоимости через прочий совокупный доход (за минусом налогового эффекта)» 222;</w:t>
      </w:r>
    </w:p>
    <w:p w14:paraId="6AEBE1B5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«переоценка основных средств и нематериальных активов (за минусом налогового эффекта)» 223;</w:t>
      </w:r>
    </w:p>
    <w:p w14:paraId="763ED323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«доля в прочем совокупном доходе (убытке) ассоциированных организаций и совместной деятельности, учитываемых по методу долевого участия» 224;</w:t>
      </w:r>
    </w:p>
    <w:p w14:paraId="6336E59E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«актуарные прибыли (убытки) по пенсионным обязательствам» 225;</w:t>
      </w:r>
    </w:p>
    <w:p w14:paraId="4C13BAA2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«эффект изменения в ставке подоходного налога на отсроченный налог» 226;</w:t>
      </w:r>
    </w:p>
    <w:p w14:paraId="2BEBC9B2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«хеджирование денежных потоков (за минусом налогового эффекта)» 227;</w:t>
      </w:r>
    </w:p>
    <w:p w14:paraId="0FA57A46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«хеджирование чистых инвестиций в зарубежные операции» 228;</w:t>
      </w:r>
    </w:p>
    <w:p w14:paraId="5A508347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lastRenderedPageBreak/>
        <w:t>«курсовая разница по инвестициям в зарубежные организации» 229;</w:t>
      </w:r>
    </w:p>
    <w:p w14:paraId="5DC92F4E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Значение строки «Операции с собственниками, всего» 300 равно сумме строк с 310 по 318,</w:t>
      </w:r>
    </w:p>
    <w:p w14:paraId="0A28AE7D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том числе:</w:t>
      </w:r>
    </w:p>
    <w:p w14:paraId="55BA9B25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«Вознаграждения работников акциями» 310;</w:t>
      </w:r>
    </w:p>
    <w:p w14:paraId="72DEBAF2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том числе:</w:t>
      </w:r>
    </w:p>
    <w:p w14:paraId="65B6D451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стоимость услуг работников;</w:t>
      </w:r>
    </w:p>
    <w:p w14:paraId="31FC11C0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выпуск акций по схеме вознаграждения работников акциями;</w:t>
      </w:r>
    </w:p>
    <w:p w14:paraId="2E41C2ED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налоговая выгода в отношении схемы вознаграждения работников акциями;</w:t>
      </w:r>
    </w:p>
    <w:p w14:paraId="2BDFBF36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«Взносы собственников» 311;</w:t>
      </w:r>
    </w:p>
    <w:p w14:paraId="41B74E89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«Выпуск собственных долевых инструментов (акций)» 312;</w:t>
      </w:r>
    </w:p>
    <w:p w14:paraId="304CC865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«Выпуск долевых инструментов, связанный с объединением бизнеса» 313;</w:t>
      </w:r>
    </w:p>
    <w:p w14:paraId="0CB09061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«Долевой компонент конвертируемых инструментов (за минусом налогового эффекта)» 314;</w:t>
      </w:r>
    </w:p>
    <w:p w14:paraId="6C9F89DD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«Выплата дивидендов» 315;</w:t>
      </w:r>
    </w:p>
    <w:p w14:paraId="3F78DF11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«Прочие распределения в пользу собственников» 316;</w:t>
      </w:r>
    </w:p>
    <w:p w14:paraId="1B126BB7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«Прочие операции с собственниками» 317;</w:t>
      </w:r>
    </w:p>
    <w:p w14:paraId="2CBB0B79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«Изменения в доле участия в дочерних организациях, не приводящей к потере контроля» 318;</w:t>
      </w:r>
    </w:p>
    <w:p w14:paraId="1EB3D915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«Прочие операции 319»;</w:t>
      </w:r>
    </w:p>
    <w:p w14:paraId="749BAFFA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Значение строки «Сальдо на 1 января отчетного года» 400 равно сумме строк 100, 200, 300 и 319;</w:t>
      </w:r>
    </w:p>
    <w:p w14:paraId="13BAF040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«Изменение в учетной политике» 401;</w:t>
      </w:r>
    </w:p>
    <w:p w14:paraId="059F866B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Значение строки «Пересчитанное сальдо» 500 равно +/- строк 400 и 401;</w:t>
      </w:r>
    </w:p>
    <w:p w14:paraId="53F46F11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Значение строки «Общий совокупный доход, всего» 600 равно сумме строк 610 и 620:</w:t>
      </w:r>
    </w:p>
    <w:p w14:paraId="6355C1DB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«Прибыль (убыток) за год» 610;</w:t>
      </w:r>
    </w:p>
    <w:p w14:paraId="6BFAD0DD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Значение строки «Прочий совокупный доход, всего» 620 равно сумме строк с 621 по 629,</w:t>
      </w:r>
    </w:p>
    <w:p w14:paraId="102B941E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том числе:</w:t>
      </w:r>
    </w:p>
    <w:p w14:paraId="72DDF0AD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«переоценка долговых финансовых инструментов, оцениваемых по справедливой стоимости через прочий совокупный доход (за минусом налогового эффекта)» 621;</w:t>
      </w:r>
    </w:p>
    <w:p w14:paraId="47671C60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«переоценка долевых финансовых инструментов, оцениваемых по справедливой стоимости через прочий совокупный доход (за минусом налогового эффекта)» 622;</w:t>
      </w:r>
    </w:p>
    <w:p w14:paraId="59B86EB5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«переоценка основных средств и нематериальных активов (за минусом налогового эффекта)» 623;</w:t>
      </w:r>
    </w:p>
    <w:p w14:paraId="137BFBCF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«доля в прочем совокупном доходе (убытке) ассоциированных организаций и совместной деятельности, учитываемых по методу долевого участия» 624;</w:t>
      </w:r>
    </w:p>
    <w:p w14:paraId="1677F6D0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«актуарные прибыли (убытки) по пенсионным обязательствам» 625;</w:t>
      </w:r>
    </w:p>
    <w:p w14:paraId="13444F66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lastRenderedPageBreak/>
        <w:t>«эффект изменения в ставке подоходного налога на отсроченный налог» 626;</w:t>
      </w:r>
    </w:p>
    <w:p w14:paraId="3EA6BA9F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«хеджирование денежных потоков (за минусом налогового эффекта)» 627;</w:t>
      </w:r>
    </w:p>
    <w:p w14:paraId="1D5232F1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«хеджирование чистых инвестиций в зарубежные операции» 628;</w:t>
      </w:r>
    </w:p>
    <w:p w14:paraId="7578FE78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«курсовая разница по инвестициям в зарубежные организации» 629;</w:t>
      </w:r>
    </w:p>
    <w:p w14:paraId="3DC74744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Значение строки «Операции с собственниками всего» 700 равно сумме строк с 710 по 718,</w:t>
      </w:r>
    </w:p>
    <w:p w14:paraId="2105D758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том числе:</w:t>
      </w:r>
    </w:p>
    <w:p w14:paraId="78230410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«Вознаграждения работников акциями» 710;</w:t>
      </w:r>
    </w:p>
    <w:p w14:paraId="725FC362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том числе:</w:t>
      </w:r>
    </w:p>
    <w:p w14:paraId="5ED78441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стоимость услуг работников;</w:t>
      </w:r>
    </w:p>
    <w:p w14:paraId="0CF9A2FC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выпуск акций по схеме вознаграждения работников акциями;</w:t>
      </w:r>
    </w:p>
    <w:p w14:paraId="5FEE4A34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налоговая выгода в отношении схемы вознаграждения работников акциями;</w:t>
      </w:r>
    </w:p>
    <w:p w14:paraId="53A1909F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«Взносы собственников» 711;</w:t>
      </w:r>
    </w:p>
    <w:p w14:paraId="7835F488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«Выпуск собственных долевых инструментов (акций)» 712;</w:t>
      </w:r>
    </w:p>
    <w:p w14:paraId="48F2FE44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«Выпуск долевых инструментов, связанный с объединением бизнеса» 713;</w:t>
      </w:r>
    </w:p>
    <w:p w14:paraId="2D115018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«Долевой компонент конвертируемых инструментов (за минусом налогового эффекта)» 714;</w:t>
      </w:r>
    </w:p>
    <w:p w14:paraId="0C3A76F3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«Выплата дивидендов» 715;</w:t>
      </w:r>
    </w:p>
    <w:p w14:paraId="39F1EDAB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«Прочие распределения в пользу собственников» 716;</w:t>
      </w:r>
    </w:p>
    <w:p w14:paraId="1137851A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«Прочие операции с собственниками» 717;</w:t>
      </w:r>
    </w:p>
    <w:p w14:paraId="19F9F0F8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«Изменения в доле участия в дочерних организациях, не приводящей к потере контроля» 718;</w:t>
      </w:r>
    </w:p>
    <w:p w14:paraId="249E0840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«Прочие операции 719»;</w:t>
      </w:r>
    </w:p>
    <w:p w14:paraId="5DAF54E4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Значение строки «Сальдо на 31 декабря отчетного года» 800 равно сумме строк 500, 600, 700 и 719;</w:t>
      </w:r>
    </w:p>
    <w:p w14:paraId="2A58A045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строке «Капитал, относимый на собственников</w:t>
      </w:r>
      <w:proofErr w:type="gramStart"/>
      <w:r w:rsidRPr="006277F7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6277F7">
        <w:rPr>
          <w:rFonts w:ascii="Times New Roman" w:hAnsi="Times New Roman" w:cs="Times New Roman"/>
          <w:sz w:val="24"/>
          <w:szCs w:val="24"/>
        </w:rPr>
        <w:t xml:space="preserve"> указывается сумма в тысячах тенге, в том числе уставный капитал, эмиссионный доход, выкупленные собственные долевые инструменты, компоненты прочего совокупного дохода, нераспределенная прибыль и прочий капитал.</w:t>
      </w:r>
    </w:p>
    <w:p w14:paraId="2509510F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строке «Доля неконтролирующих собственников» указывается сумма доли неконтролирующих собственников, в тысячах тенге.</w:t>
      </w:r>
    </w:p>
    <w:p w14:paraId="717765B1" w14:textId="77777777" w:rsidR="006277F7" w:rsidRPr="006277F7" w:rsidRDefault="006277F7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277F7">
        <w:rPr>
          <w:rFonts w:ascii="Times New Roman" w:hAnsi="Times New Roman" w:cs="Times New Roman"/>
          <w:sz w:val="24"/>
          <w:szCs w:val="24"/>
        </w:rPr>
        <w:t>В строке «Итого капитал» указывается сумма итого капитала в тысячах тенге.</w:t>
      </w:r>
    </w:p>
    <w:p w14:paraId="2E4BE5A0" w14:textId="77777777" w:rsidR="008A7203" w:rsidRPr="006277F7" w:rsidRDefault="008A7203" w:rsidP="006277F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A7203" w:rsidRPr="00627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D4"/>
    <w:rsid w:val="006277F7"/>
    <w:rsid w:val="008A7203"/>
    <w:rsid w:val="00B4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50F85-EF49-4BDD-8E56-BD55D044B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2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57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881</Words>
  <Characters>5023</Characters>
  <Application>Microsoft Office Word</Application>
  <DocSecurity>0</DocSecurity>
  <Lines>41</Lines>
  <Paragraphs>11</Paragraphs>
  <ScaleCrop>false</ScaleCrop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2026-05-14T11:26:00Z</dcterms:created>
  <dcterms:modified xsi:type="dcterms:W3CDTF">2026-05-14T11:30:00Z</dcterms:modified>
</cp:coreProperties>
</file>